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widowControl w:val="0"/>
        <w:jc w:val="center"/>
        <w:rPr>
          <w:rFonts w:ascii="Source Sans Pro" w:cs="Source Sans Pro" w:eastAsia="Source Sans Pro" w:hAnsi="Source Sans Pro"/>
          <w:b w:val="1"/>
        </w:rPr>
      </w:pPr>
      <w:bookmarkStart w:colFirst="0" w:colLast="0" w:name="_3b2u3fnvz9en" w:id="0"/>
      <w:bookmarkEnd w:id="0"/>
      <w:r w:rsidDel="00000000" w:rsidR="00000000" w:rsidRPr="00000000">
        <w:rPr>
          <w:rFonts w:ascii="Source Sans Pro" w:cs="Source Sans Pro" w:eastAsia="Source Sans Pro" w:hAnsi="Source Sans Pro"/>
          <w:b w:val="1"/>
          <w:rtl w:val="0"/>
        </w:rPr>
        <w:t xml:space="preserve">AoR Crafting Cheat Sheet</w:t>
      </w:r>
    </w:p>
    <w:p w:rsidR="00000000" w:rsidDel="00000000" w:rsidP="00000000" w:rsidRDefault="00000000" w:rsidRPr="00000000" w14:paraId="00000002">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03">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Context</w:t>
      </w:r>
      <w:r w:rsidDel="00000000" w:rsidR="00000000" w:rsidRPr="00000000">
        <w:rPr>
          <w:rtl w:val="0"/>
        </w:rPr>
      </w:r>
    </w:p>
    <w:p w:rsidR="00000000" w:rsidDel="00000000" w:rsidP="00000000" w:rsidRDefault="00000000" w:rsidRPr="00000000" w14:paraId="00000004">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05">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Areas of Responsibility are a way of capturing the distribution of responsibility within your company. They’re based on the idea that everyone owns some part of the business. While managers have the greatest decision-making power, you don’t want your VP of Marketing deciding what to publish on the blog or your CEO reviewing code. Those AoRs should be the responsibility of subject matter experts within each team. AoRs provide transparency to colleagues, speed up decision-making, help managers delegate, and highlight skills gaps in your company. This cheat sheet will help you craft your AoR list. Be sure to keep it somewhere public and accessible to your entire team.</w:t>
      </w:r>
    </w:p>
    <w:p w:rsidR="00000000" w:rsidDel="00000000" w:rsidP="00000000" w:rsidRDefault="00000000" w:rsidRPr="00000000" w14:paraId="00000006">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07">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08">
      <w:pP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Areas of Responsibility</w:t>
      </w:r>
    </w:p>
    <w:p w:rsidR="00000000" w:rsidDel="00000000" w:rsidP="00000000" w:rsidRDefault="00000000" w:rsidRPr="00000000" w14:paraId="00000009">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0A">
      <w:pPr>
        <w:widowControl w:val="0"/>
        <w:ind w:left="720" w:firstLine="0"/>
        <w:rPr>
          <w:rFonts w:ascii="Source Sans Pro" w:cs="Source Sans Pro" w:eastAsia="Source Sans Pro" w:hAnsi="Source Sans Pro"/>
          <w:color w:val="222222"/>
          <w:sz w:val="20"/>
          <w:szCs w:val="20"/>
        </w:rPr>
      </w:pPr>
      <w:r w:rsidDel="00000000" w:rsidR="00000000" w:rsidRPr="00000000">
        <w:rPr>
          <w:rtl w:val="0"/>
        </w:rPr>
      </w:r>
    </w:p>
    <w:p w:rsidR="00000000" w:rsidDel="00000000" w:rsidP="00000000" w:rsidRDefault="00000000" w:rsidRPr="00000000" w14:paraId="0000000B">
      <w:pPr>
        <w:widowControl w:val="0"/>
        <w:numPr>
          <w:ilvl w:val="0"/>
          <w:numId w:val="1"/>
        </w:numPr>
        <w:ind w:left="720" w:hanging="360"/>
        <w:rPr>
          <w:rFonts w:ascii="Source Sans Pro" w:cs="Source Sans Pro" w:eastAsia="Source Sans Pro" w:hAnsi="Source Sans Pro"/>
          <w:sz w:val="20"/>
          <w:szCs w:val="20"/>
        </w:rPr>
      </w:pPr>
      <w:r w:rsidDel="00000000" w:rsidR="00000000" w:rsidRPr="00000000">
        <w:rPr>
          <w:rFonts w:ascii="Source Sans Pro" w:cs="Source Sans Pro" w:eastAsia="Source Sans Pro" w:hAnsi="Source Sans Pro"/>
          <w:color w:val="222222"/>
          <w:sz w:val="20"/>
          <w:szCs w:val="20"/>
          <w:rtl w:val="0"/>
        </w:rPr>
        <w:t xml:space="preserve">Individual AoRs are meant to turn a mandate’s baseline KPIs into action and responsibility.</w:t>
      </w:r>
    </w:p>
    <w:p w:rsidR="00000000" w:rsidDel="00000000" w:rsidP="00000000" w:rsidRDefault="00000000" w:rsidRPr="00000000" w14:paraId="0000000C">
      <w:pPr>
        <w:widowControl w:val="0"/>
        <w:numPr>
          <w:ilvl w:val="1"/>
          <w:numId w:val="1"/>
        </w:numPr>
        <w:ind w:left="1440" w:hanging="360"/>
        <w:rPr>
          <w:rFonts w:ascii="Source Sans Pro" w:cs="Source Sans Pro" w:eastAsia="Source Sans Pro" w:hAnsi="Source Sans Pro"/>
          <w:color w:val="222222"/>
          <w:sz w:val="20"/>
          <w:szCs w:val="20"/>
        </w:rPr>
      </w:pPr>
      <w:r w:rsidDel="00000000" w:rsidR="00000000" w:rsidRPr="00000000">
        <w:rPr>
          <w:rFonts w:ascii="Source Sans Pro" w:cs="Source Sans Pro" w:eastAsia="Source Sans Pro" w:hAnsi="Source Sans Pro"/>
          <w:color w:val="222222"/>
          <w:sz w:val="20"/>
          <w:szCs w:val="20"/>
          <w:rtl w:val="0"/>
        </w:rPr>
        <w:t xml:space="preserve">As such, mandate AoRs have baseline KPIs, but individual AoR don’t need to have KPIs (but can as needed). </w:t>
      </w:r>
    </w:p>
    <w:p w:rsidR="00000000" w:rsidDel="00000000" w:rsidP="00000000" w:rsidRDefault="00000000" w:rsidRPr="00000000" w14:paraId="0000000D">
      <w:pPr>
        <w:widowControl w:val="0"/>
        <w:numPr>
          <w:ilvl w:val="0"/>
          <w:numId w:val="1"/>
        </w:numPr>
        <w:spacing w:before="200" w:lineRule="auto"/>
        <w:ind w:left="720" w:hanging="360"/>
        <w:rPr>
          <w:rFonts w:ascii="Source Sans Pro" w:cs="Source Sans Pro" w:eastAsia="Source Sans Pro" w:hAnsi="Source Sans Pro"/>
          <w:sz w:val="20"/>
          <w:szCs w:val="20"/>
        </w:rPr>
      </w:pPr>
      <w:r w:rsidDel="00000000" w:rsidR="00000000" w:rsidRPr="00000000">
        <w:rPr>
          <w:rFonts w:ascii="Source Sans Pro" w:cs="Source Sans Pro" w:eastAsia="Source Sans Pro" w:hAnsi="Source Sans Pro"/>
          <w:color w:val="222222"/>
          <w:sz w:val="20"/>
          <w:szCs w:val="20"/>
          <w:rtl w:val="0"/>
        </w:rPr>
        <w:t xml:space="preserve">AoRs may cover</w:t>
      </w:r>
    </w:p>
    <w:p w:rsidR="00000000" w:rsidDel="00000000" w:rsidP="00000000" w:rsidRDefault="00000000" w:rsidRPr="00000000" w14:paraId="0000000E">
      <w:pPr>
        <w:widowControl w:val="0"/>
        <w:numPr>
          <w:ilvl w:val="1"/>
          <w:numId w:val="1"/>
        </w:numPr>
        <w:ind w:left="1440" w:hanging="360"/>
        <w:rPr>
          <w:rFonts w:ascii="Source Sans Pro" w:cs="Source Sans Pro" w:eastAsia="Source Sans Pro" w:hAnsi="Source Sans Pro"/>
          <w:sz w:val="20"/>
          <w:szCs w:val="20"/>
        </w:rPr>
      </w:pPr>
      <w:r w:rsidDel="00000000" w:rsidR="00000000" w:rsidRPr="00000000">
        <w:rPr>
          <w:rFonts w:ascii="Source Sans Pro" w:cs="Source Sans Pro" w:eastAsia="Source Sans Pro" w:hAnsi="Source Sans Pro"/>
          <w:color w:val="222222"/>
          <w:sz w:val="20"/>
          <w:szCs w:val="20"/>
          <w:rtl w:val="0"/>
        </w:rPr>
        <w:t xml:space="preserve">Recurring tasks. E.g. order beer, compile KPIs, run a maintenance, etc</w:t>
      </w:r>
    </w:p>
    <w:p w:rsidR="00000000" w:rsidDel="00000000" w:rsidP="00000000" w:rsidRDefault="00000000" w:rsidRPr="00000000" w14:paraId="0000000F">
      <w:pPr>
        <w:widowControl w:val="0"/>
        <w:numPr>
          <w:ilvl w:val="2"/>
          <w:numId w:val="1"/>
        </w:numPr>
        <w:ind w:left="2160" w:hanging="360"/>
        <w:rPr>
          <w:rFonts w:ascii="Source Sans Pro" w:cs="Source Sans Pro" w:eastAsia="Source Sans Pro" w:hAnsi="Source Sans Pro"/>
          <w:color w:val="222222"/>
          <w:sz w:val="20"/>
          <w:szCs w:val="20"/>
        </w:rPr>
      </w:pPr>
      <w:r w:rsidDel="00000000" w:rsidR="00000000" w:rsidRPr="00000000">
        <w:rPr>
          <w:rFonts w:ascii="Source Sans Pro" w:cs="Source Sans Pro" w:eastAsia="Source Sans Pro" w:hAnsi="Source Sans Pro"/>
          <w:color w:val="222222"/>
          <w:sz w:val="20"/>
          <w:szCs w:val="20"/>
          <w:rtl w:val="0"/>
        </w:rPr>
        <w:t xml:space="preserve">Use repeating subtasks to codify the AoR into recurring/routine actions</w:t>
      </w:r>
    </w:p>
    <w:p w:rsidR="00000000" w:rsidDel="00000000" w:rsidP="00000000" w:rsidRDefault="00000000" w:rsidRPr="00000000" w14:paraId="00000010">
      <w:pPr>
        <w:widowControl w:val="0"/>
        <w:numPr>
          <w:ilvl w:val="1"/>
          <w:numId w:val="1"/>
        </w:numPr>
        <w:ind w:left="1440" w:hanging="360"/>
        <w:rPr>
          <w:rFonts w:ascii="Source Sans Pro" w:cs="Source Sans Pro" w:eastAsia="Source Sans Pro" w:hAnsi="Source Sans Pro"/>
          <w:sz w:val="20"/>
          <w:szCs w:val="20"/>
        </w:rPr>
      </w:pPr>
      <w:r w:rsidDel="00000000" w:rsidR="00000000" w:rsidRPr="00000000">
        <w:rPr>
          <w:rFonts w:ascii="Source Sans Pro" w:cs="Source Sans Pro" w:eastAsia="Source Sans Pro" w:hAnsi="Source Sans Pro"/>
          <w:color w:val="222222"/>
          <w:sz w:val="20"/>
          <w:szCs w:val="20"/>
          <w:rtl w:val="0"/>
        </w:rPr>
        <w:t xml:space="preserve">Reactive responsibilities. E.g. questions, requests, take a decisions when no consensus, etc</w:t>
      </w:r>
    </w:p>
    <w:p w:rsidR="00000000" w:rsidDel="00000000" w:rsidP="00000000" w:rsidRDefault="00000000" w:rsidRPr="00000000" w14:paraId="00000011">
      <w:pPr>
        <w:widowControl w:val="0"/>
        <w:numPr>
          <w:ilvl w:val="1"/>
          <w:numId w:val="1"/>
        </w:numPr>
        <w:ind w:left="1440" w:hanging="360"/>
        <w:rPr>
          <w:rFonts w:ascii="Source Sans Pro" w:cs="Source Sans Pro" w:eastAsia="Source Sans Pro" w:hAnsi="Source Sans Pro"/>
          <w:sz w:val="20"/>
          <w:szCs w:val="20"/>
        </w:rPr>
      </w:pPr>
      <w:r w:rsidDel="00000000" w:rsidR="00000000" w:rsidRPr="00000000">
        <w:rPr>
          <w:rFonts w:ascii="Source Sans Pro" w:cs="Source Sans Pro" w:eastAsia="Source Sans Pro" w:hAnsi="Source Sans Pro"/>
          <w:color w:val="222222"/>
          <w:sz w:val="20"/>
          <w:szCs w:val="20"/>
          <w:rtl w:val="0"/>
        </w:rPr>
        <w:t xml:space="preserve">Proactive improvement. E.g. automate a step, revamp something to improve a KPI</w:t>
      </w:r>
    </w:p>
    <w:p w:rsidR="00000000" w:rsidDel="00000000" w:rsidP="00000000" w:rsidRDefault="00000000" w:rsidRPr="00000000" w14:paraId="00000012">
      <w:pPr>
        <w:widowControl w:val="0"/>
        <w:numPr>
          <w:ilvl w:val="2"/>
          <w:numId w:val="1"/>
        </w:numPr>
        <w:ind w:left="2160" w:hanging="360"/>
        <w:rPr>
          <w:rFonts w:ascii="Source Sans Pro" w:cs="Source Sans Pro" w:eastAsia="Source Sans Pro" w:hAnsi="Source Sans Pro"/>
          <w:sz w:val="20"/>
          <w:szCs w:val="20"/>
        </w:rPr>
      </w:pPr>
      <w:r w:rsidDel="00000000" w:rsidR="00000000" w:rsidRPr="00000000">
        <w:rPr>
          <w:rFonts w:ascii="Source Sans Pro" w:cs="Source Sans Pro" w:eastAsia="Source Sans Pro" w:hAnsi="Source Sans Pro"/>
          <w:color w:val="222222"/>
          <w:sz w:val="20"/>
          <w:szCs w:val="20"/>
          <w:rtl w:val="0"/>
        </w:rPr>
        <w:t xml:space="preserve">Low effort improvements can be done on the side, during hackternoons, or during recurring time blocks</w:t>
      </w:r>
    </w:p>
    <w:p w:rsidR="00000000" w:rsidDel="00000000" w:rsidP="00000000" w:rsidRDefault="00000000" w:rsidRPr="00000000" w14:paraId="00000013">
      <w:pPr>
        <w:widowControl w:val="0"/>
        <w:numPr>
          <w:ilvl w:val="2"/>
          <w:numId w:val="1"/>
        </w:numPr>
        <w:ind w:left="2160" w:hanging="360"/>
        <w:rPr>
          <w:rFonts w:ascii="Source Sans Pro" w:cs="Source Sans Pro" w:eastAsia="Source Sans Pro" w:hAnsi="Source Sans Pro"/>
          <w:sz w:val="20"/>
          <w:szCs w:val="20"/>
        </w:rPr>
      </w:pPr>
      <w:r w:rsidDel="00000000" w:rsidR="00000000" w:rsidRPr="00000000">
        <w:rPr>
          <w:rFonts w:ascii="Source Sans Pro" w:cs="Source Sans Pro" w:eastAsia="Source Sans Pro" w:hAnsi="Source Sans Pro"/>
          <w:color w:val="222222"/>
          <w:sz w:val="20"/>
          <w:szCs w:val="20"/>
          <w:rtl w:val="0"/>
        </w:rPr>
        <w:t xml:space="preserve">Medium+ effort improvements should be surfaced as company/team/personal OKRs</w:t>
      </w:r>
    </w:p>
    <w:p w:rsidR="00000000" w:rsidDel="00000000" w:rsidP="00000000" w:rsidRDefault="00000000" w:rsidRPr="00000000" w14:paraId="00000014">
      <w:pPr>
        <w:widowControl w:val="0"/>
        <w:numPr>
          <w:ilvl w:val="0"/>
          <w:numId w:val="1"/>
        </w:numPr>
        <w:spacing w:before="200" w:lineRule="auto"/>
        <w:ind w:left="720" w:hanging="360"/>
        <w:rPr>
          <w:rFonts w:ascii="Source Sans Pro" w:cs="Source Sans Pro" w:eastAsia="Source Sans Pro" w:hAnsi="Source Sans Pro"/>
          <w:sz w:val="20"/>
          <w:szCs w:val="20"/>
        </w:rPr>
      </w:pPr>
      <w:r w:rsidDel="00000000" w:rsidR="00000000" w:rsidRPr="00000000">
        <w:rPr>
          <w:rFonts w:ascii="Source Sans Pro" w:cs="Source Sans Pro" w:eastAsia="Source Sans Pro" w:hAnsi="Source Sans Pro"/>
          <w:color w:val="222222"/>
          <w:sz w:val="20"/>
          <w:szCs w:val="20"/>
          <w:rtl w:val="0"/>
        </w:rPr>
        <w:t xml:space="preserve">AoRs can change frequently, don’t hold back</w:t>
      </w:r>
    </w:p>
    <w:p w:rsidR="00000000" w:rsidDel="00000000" w:rsidP="00000000" w:rsidRDefault="00000000" w:rsidRPr="00000000" w14:paraId="00000015">
      <w:pPr>
        <w:widowControl w:val="0"/>
        <w:numPr>
          <w:ilvl w:val="1"/>
          <w:numId w:val="1"/>
        </w:numPr>
        <w:ind w:left="1440" w:hanging="360"/>
        <w:rPr>
          <w:rFonts w:ascii="Source Sans Pro" w:cs="Source Sans Pro" w:eastAsia="Source Sans Pro" w:hAnsi="Source Sans Pro"/>
          <w:color w:val="222222"/>
          <w:sz w:val="20"/>
          <w:szCs w:val="20"/>
        </w:rPr>
      </w:pPr>
      <w:r w:rsidDel="00000000" w:rsidR="00000000" w:rsidRPr="00000000">
        <w:rPr>
          <w:rFonts w:ascii="Source Sans Pro" w:cs="Source Sans Pro" w:eastAsia="Source Sans Pro" w:hAnsi="Source Sans Pro"/>
          <w:color w:val="222222"/>
          <w:sz w:val="20"/>
          <w:szCs w:val="20"/>
          <w:rtl w:val="0"/>
        </w:rPr>
        <w:t xml:space="preserve">Be mindful: changing people’s AoRs requires communications, possibly training, and a ramp up</w:t>
      </w:r>
    </w:p>
    <w:p w:rsidR="00000000" w:rsidDel="00000000" w:rsidP="00000000" w:rsidRDefault="00000000" w:rsidRPr="00000000" w14:paraId="00000016">
      <w:pPr>
        <w:widowControl w:val="0"/>
        <w:numPr>
          <w:ilvl w:val="1"/>
          <w:numId w:val="1"/>
        </w:numPr>
        <w:ind w:left="1440" w:hanging="360"/>
        <w:rPr>
          <w:rFonts w:ascii="Source Sans Pro" w:cs="Source Sans Pro" w:eastAsia="Source Sans Pro" w:hAnsi="Source Sans Pro"/>
          <w:color w:val="222222"/>
          <w:sz w:val="20"/>
          <w:szCs w:val="20"/>
        </w:rPr>
      </w:pPr>
      <w:r w:rsidDel="00000000" w:rsidR="00000000" w:rsidRPr="00000000">
        <w:rPr>
          <w:rFonts w:ascii="Source Sans Pro" w:cs="Source Sans Pro" w:eastAsia="Source Sans Pro" w:hAnsi="Source Sans Pro"/>
          <w:color w:val="222222"/>
          <w:sz w:val="20"/>
          <w:szCs w:val="20"/>
          <w:rtl w:val="0"/>
        </w:rPr>
        <w:t xml:space="preserve">Communication is key as changing AoRs will trigger healthy discussion around responsibilities and org structure</w:t>
      </w:r>
    </w:p>
    <w:p w:rsidR="00000000" w:rsidDel="00000000" w:rsidP="00000000" w:rsidRDefault="00000000" w:rsidRPr="00000000" w14:paraId="00000017">
      <w:pPr>
        <w:widowControl w:val="0"/>
        <w:numPr>
          <w:ilvl w:val="0"/>
          <w:numId w:val="1"/>
        </w:numPr>
        <w:spacing w:before="200" w:lineRule="auto"/>
        <w:ind w:left="720" w:hanging="360"/>
        <w:rPr>
          <w:rFonts w:ascii="Source Sans Pro" w:cs="Source Sans Pro" w:eastAsia="Source Sans Pro" w:hAnsi="Source Sans Pro"/>
          <w:sz w:val="20"/>
          <w:szCs w:val="20"/>
        </w:rPr>
      </w:pPr>
      <w:r w:rsidDel="00000000" w:rsidR="00000000" w:rsidRPr="00000000">
        <w:rPr>
          <w:rFonts w:ascii="Source Sans Pro" w:cs="Source Sans Pro" w:eastAsia="Source Sans Pro" w:hAnsi="Source Sans Pro"/>
          <w:color w:val="222222"/>
          <w:sz w:val="20"/>
          <w:szCs w:val="20"/>
          <w:rtl w:val="0"/>
        </w:rPr>
        <w:t xml:space="preserve">AoRs can be refactored as needed</w:t>
      </w:r>
    </w:p>
    <w:p w:rsidR="00000000" w:rsidDel="00000000" w:rsidP="00000000" w:rsidRDefault="00000000" w:rsidRPr="00000000" w14:paraId="00000018">
      <w:pPr>
        <w:widowControl w:val="0"/>
        <w:numPr>
          <w:ilvl w:val="1"/>
          <w:numId w:val="1"/>
        </w:numPr>
        <w:ind w:left="1440" w:hanging="360"/>
        <w:rPr>
          <w:rFonts w:ascii="Source Sans Pro" w:cs="Source Sans Pro" w:eastAsia="Source Sans Pro" w:hAnsi="Source Sans Pro"/>
          <w:color w:val="222222"/>
          <w:sz w:val="20"/>
          <w:szCs w:val="20"/>
        </w:rPr>
      </w:pPr>
      <w:r w:rsidDel="00000000" w:rsidR="00000000" w:rsidRPr="00000000">
        <w:rPr>
          <w:rFonts w:ascii="Source Sans Pro" w:cs="Source Sans Pro" w:eastAsia="Source Sans Pro" w:hAnsi="Source Sans Pro"/>
          <w:color w:val="222222"/>
          <w:sz w:val="20"/>
          <w:szCs w:val="20"/>
          <w:rtl w:val="0"/>
        </w:rPr>
        <w:t xml:space="preserve">If the assignment of an AoR to a single person is not obvious, it’s a sign to refactor</w:t>
      </w:r>
    </w:p>
    <w:p w:rsidR="00000000" w:rsidDel="00000000" w:rsidP="00000000" w:rsidRDefault="00000000" w:rsidRPr="00000000" w14:paraId="00000019">
      <w:pPr>
        <w:widowControl w:val="0"/>
        <w:numPr>
          <w:ilvl w:val="1"/>
          <w:numId w:val="1"/>
        </w:numPr>
        <w:ind w:left="1440" w:hanging="360"/>
        <w:rPr>
          <w:rFonts w:ascii="Source Sans Pro" w:cs="Source Sans Pro" w:eastAsia="Source Sans Pro" w:hAnsi="Source Sans Pro"/>
          <w:color w:val="222222"/>
          <w:sz w:val="20"/>
          <w:szCs w:val="20"/>
        </w:rPr>
      </w:pPr>
      <w:r w:rsidDel="00000000" w:rsidR="00000000" w:rsidRPr="00000000">
        <w:rPr>
          <w:rFonts w:ascii="Source Sans Pro" w:cs="Source Sans Pro" w:eastAsia="Source Sans Pro" w:hAnsi="Source Sans Pro"/>
          <w:color w:val="222222"/>
          <w:sz w:val="20"/>
          <w:szCs w:val="20"/>
          <w:rtl w:val="0"/>
        </w:rPr>
        <w:t xml:space="preserve">Refactoring = split or carve-out</w:t>
      </w:r>
    </w:p>
    <w:p w:rsidR="00000000" w:rsidDel="00000000" w:rsidP="00000000" w:rsidRDefault="00000000" w:rsidRPr="00000000" w14:paraId="0000001A">
      <w:pPr>
        <w:widowControl w:val="0"/>
        <w:numPr>
          <w:ilvl w:val="2"/>
          <w:numId w:val="1"/>
        </w:numPr>
        <w:ind w:left="2160" w:hanging="360"/>
        <w:rPr>
          <w:rFonts w:ascii="Source Sans Pro" w:cs="Source Sans Pro" w:eastAsia="Source Sans Pro" w:hAnsi="Source Sans Pro"/>
          <w:color w:val="222222"/>
          <w:sz w:val="20"/>
          <w:szCs w:val="20"/>
        </w:rPr>
      </w:pPr>
      <w:r w:rsidDel="00000000" w:rsidR="00000000" w:rsidRPr="00000000">
        <w:rPr>
          <w:rFonts w:ascii="Source Sans Pro" w:cs="Source Sans Pro" w:eastAsia="Source Sans Pro" w:hAnsi="Source Sans Pro"/>
          <w:color w:val="222222"/>
          <w:sz w:val="20"/>
          <w:szCs w:val="20"/>
          <w:rtl w:val="0"/>
        </w:rPr>
        <w:t xml:space="preserve">Split: 1 AoR becomes 2 independent AoRs</w:t>
      </w:r>
    </w:p>
    <w:p w:rsidR="00000000" w:rsidDel="00000000" w:rsidP="00000000" w:rsidRDefault="00000000" w:rsidRPr="00000000" w14:paraId="0000001B">
      <w:pPr>
        <w:widowControl w:val="0"/>
        <w:numPr>
          <w:ilvl w:val="2"/>
          <w:numId w:val="1"/>
        </w:numPr>
        <w:ind w:left="2160" w:hanging="360"/>
        <w:rPr>
          <w:rFonts w:ascii="Source Sans Pro" w:cs="Source Sans Pro" w:eastAsia="Source Sans Pro" w:hAnsi="Source Sans Pro"/>
          <w:color w:val="222222"/>
          <w:sz w:val="20"/>
          <w:szCs w:val="20"/>
        </w:rPr>
      </w:pPr>
      <w:r w:rsidDel="00000000" w:rsidR="00000000" w:rsidRPr="00000000">
        <w:rPr>
          <w:rFonts w:ascii="Source Sans Pro" w:cs="Source Sans Pro" w:eastAsia="Source Sans Pro" w:hAnsi="Source Sans Pro"/>
          <w:color w:val="222222"/>
          <w:sz w:val="20"/>
          <w:szCs w:val="20"/>
          <w:rtl w:val="0"/>
        </w:rPr>
        <w:t xml:space="preserve">Carve-out: extract and delegate a small AoR from a bigger one. E.g. “Keep the office stocked with food &amp; drinks” and “Keep the fridge stocked with beer”</w:t>
        <w:br w:type="textWrapping"/>
        <w:t xml:space="preserve">Great to give smaller responsibilities to new hires, while having everything else fall on the parent AoR. In the bigger AoR add a note that it excludes &lt;link to carved out AoR&gt;. </w:t>
      </w:r>
    </w:p>
    <w:p w:rsidR="00000000" w:rsidDel="00000000" w:rsidP="00000000" w:rsidRDefault="00000000" w:rsidRPr="00000000" w14:paraId="0000001C">
      <w:pPr>
        <w:widowControl w:val="0"/>
        <w:numPr>
          <w:ilvl w:val="1"/>
          <w:numId w:val="1"/>
        </w:numPr>
        <w:ind w:left="1440" w:hanging="360"/>
        <w:rPr>
          <w:rFonts w:ascii="Source Sans Pro" w:cs="Source Sans Pro" w:eastAsia="Source Sans Pro" w:hAnsi="Source Sans Pro"/>
          <w:color w:val="222222"/>
          <w:sz w:val="20"/>
          <w:szCs w:val="20"/>
        </w:rPr>
      </w:pPr>
      <w:r w:rsidDel="00000000" w:rsidR="00000000" w:rsidRPr="00000000">
        <w:rPr>
          <w:rFonts w:ascii="Source Sans Pro" w:cs="Source Sans Pro" w:eastAsia="Source Sans Pro" w:hAnsi="Source Sans Pro"/>
          <w:color w:val="222222"/>
          <w:sz w:val="20"/>
          <w:szCs w:val="20"/>
          <w:rtl w:val="0"/>
        </w:rPr>
        <w:t xml:space="preserve">Don’t go too granular: if someone has multiple similar AoRs, group them in one and just add more in the description</w:t>
      </w:r>
    </w:p>
    <w:p w:rsidR="00000000" w:rsidDel="00000000" w:rsidP="00000000" w:rsidRDefault="00000000" w:rsidRPr="00000000" w14:paraId="0000001D">
      <w:pPr>
        <w:widowControl w:val="0"/>
        <w:numPr>
          <w:ilvl w:val="1"/>
          <w:numId w:val="1"/>
        </w:numPr>
        <w:ind w:left="1440" w:hanging="360"/>
        <w:rPr>
          <w:rFonts w:ascii="Source Sans Pro" w:cs="Source Sans Pro" w:eastAsia="Source Sans Pro" w:hAnsi="Source Sans Pro"/>
          <w:sz w:val="20"/>
          <w:szCs w:val="20"/>
        </w:rPr>
      </w:pPr>
      <w:r w:rsidDel="00000000" w:rsidR="00000000" w:rsidRPr="00000000">
        <w:rPr>
          <w:rFonts w:ascii="Source Sans Pro" w:cs="Source Sans Pro" w:eastAsia="Source Sans Pro" w:hAnsi="Source Sans Pro"/>
          <w:color w:val="222222"/>
          <w:sz w:val="20"/>
          <w:szCs w:val="20"/>
          <w:rtl w:val="0"/>
        </w:rPr>
        <w:t xml:space="preserve">Go granular when you are planning on hiring and/or re-assigning to someone else in the future</w:t>
      </w:r>
    </w:p>
    <w:p w:rsidR="00000000" w:rsidDel="00000000" w:rsidP="00000000" w:rsidRDefault="00000000" w:rsidRPr="00000000" w14:paraId="0000001E">
      <w:pPr>
        <w:widowControl w:val="0"/>
        <w:numPr>
          <w:ilvl w:val="2"/>
          <w:numId w:val="1"/>
        </w:numPr>
        <w:ind w:left="2160" w:hanging="360"/>
        <w:rPr>
          <w:rFonts w:ascii="Source Sans Pro" w:cs="Source Sans Pro" w:eastAsia="Source Sans Pro" w:hAnsi="Source Sans Pro"/>
          <w:sz w:val="20"/>
          <w:szCs w:val="20"/>
        </w:rPr>
      </w:pPr>
      <w:r w:rsidDel="00000000" w:rsidR="00000000" w:rsidRPr="00000000">
        <w:rPr>
          <w:rFonts w:ascii="Source Sans Pro" w:cs="Source Sans Pro" w:eastAsia="Source Sans Pro" w:hAnsi="Source Sans Pro"/>
          <w:color w:val="222222"/>
          <w:sz w:val="20"/>
          <w:szCs w:val="20"/>
          <w:rtl w:val="0"/>
        </w:rPr>
        <w:t xml:space="preserve">Use the tag </w:t>
      </w:r>
      <w:r w:rsidDel="00000000" w:rsidR="00000000" w:rsidRPr="00000000">
        <w:rPr>
          <w:rFonts w:ascii="Source Sans Pro" w:cs="Source Sans Pro" w:eastAsia="Source Sans Pro" w:hAnsi="Source Sans Pro"/>
          <w:i w:val="1"/>
          <w:color w:val="222222"/>
          <w:sz w:val="20"/>
          <w:szCs w:val="20"/>
          <w:rtl w:val="0"/>
        </w:rPr>
        <w:t xml:space="preserve">Delegate</w:t>
      </w:r>
      <w:r w:rsidDel="00000000" w:rsidR="00000000" w:rsidRPr="00000000">
        <w:rPr>
          <w:rFonts w:ascii="Source Sans Pro" w:cs="Source Sans Pro" w:eastAsia="Source Sans Pro" w:hAnsi="Source Sans Pro"/>
          <w:color w:val="222222"/>
          <w:sz w:val="20"/>
          <w:szCs w:val="20"/>
          <w:rtl w:val="0"/>
        </w:rPr>
        <w:t xml:space="preserve"> to mark AoRs you are planning on reassigning</w:t>
      </w:r>
    </w:p>
    <w:p w:rsidR="00000000" w:rsidDel="00000000" w:rsidP="00000000" w:rsidRDefault="00000000" w:rsidRPr="00000000" w14:paraId="0000001F">
      <w:pPr>
        <w:widowControl w:val="0"/>
        <w:numPr>
          <w:ilvl w:val="2"/>
          <w:numId w:val="1"/>
        </w:numPr>
        <w:ind w:left="2160" w:hanging="360"/>
        <w:rPr>
          <w:rFonts w:ascii="Source Sans Pro" w:cs="Source Sans Pro" w:eastAsia="Source Sans Pro" w:hAnsi="Source Sans Pro"/>
          <w:color w:val="222222"/>
          <w:sz w:val="20"/>
          <w:szCs w:val="20"/>
        </w:rPr>
      </w:pPr>
      <w:r w:rsidDel="00000000" w:rsidR="00000000" w:rsidRPr="00000000">
        <w:rPr>
          <w:rFonts w:ascii="Source Sans Pro" w:cs="Source Sans Pro" w:eastAsia="Source Sans Pro" w:hAnsi="Source Sans Pro"/>
          <w:color w:val="222222"/>
          <w:sz w:val="20"/>
          <w:szCs w:val="20"/>
          <w:rtl w:val="0"/>
        </w:rPr>
        <w:t xml:space="preserve">Helps build hiring plan and job profiles, just look for tagged AoRs to find what you’re need to hire for</w:t>
      </w:r>
    </w:p>
    <w:p w:rsidR="00000000" w:rsidDel="00000000" w:rsidP="00000000" w:rsidRDefault="00000000" w:rsidRPr="00000000" w14:paraId="00000020">
      <w:pPr>
        <w:widowControl w:val="0"/>
        <w:numPr>
          <w:ilvl w:val="2"/>
          <w:numId w:val="1"/>
        </w:numPr>
        <w:ind w:left="2160" w:hanging="360"/>
        <w:rPr>
          <w:rFonts w:ascii="Source Sans Pro" w:cs="Source Sans Pro" w:eastAsia="Source Sans Pro" w:hAnsi="Source Sans Pro"/>
          <w:color w:val="222222"/>
          <w:sz w:val="20"/>
          <w:szCs w:val="20"/>
        </w:rPr>
      </w:pPr>
      <w:r w:rsidDel="00000000" w:rsidR="00000000" w:rsidRPr="00000000">
        <w:rPr>
          <w:rFonts w:ascii="Source Sans Pro" w:cs="Source Sans Pro" w:eastAsia="Source Sans Pro" w:hAnsi="Source Sans Pro"/>
          <w:color w:val="222222"/>
          <w:sz w:val="20"/>
          <w:szCs w:val="20"/>
          <w:rtl w:val="0"/>
        </w:rPr>
        <w:t xml:space="preserve">Tells people an AoR assignment is temporary</w:t>
      </w:r>
    </w:p>
    <w:p w:rsidR="00000000" w:rsidDel="00000000" w:rsidP="00000000" w:rsidRDefault="00000000" w:rsidRPr="00000000" w14:paraId="00000021">
      <w:pPr>
        <w:widowControl w:val="0"/>
        <w:numPr>
          <w:ilvl w:val="0"/>
          <w:numId w:val="1"/>
        </w:numPr>
        <w:spacing w:before="200" w:lineRule="auto"/>
        <w:ind w:left="720" w:hanging="360"/>
        <w:rPr>
          <w:rFonts w:ascii="Source Sans Pro" w:cs="Source Sans Pro" w:eastAsia="Source Sans Pro" w:hAnsi="Source Sans Pro"/>
          <w:sz w:val="20"/>
          <w:szCs w:val="20"/>
        </w:rPr>
      </w:pPr>
      <w:r w:rsidDel="00000000" w:rsidR="00000000" w:rsidRPr="00000000">
        <w:rPr>
          <w:rFonts w:ascii="Source Sans Pro" w:cs="Source Sans Pro" w:eastAsia="Source Sans Pro" w:hAnsi="Source Sans Pro"/>
          <w:color w:val="222222"/>
          <w:sz w:val="20"/>
          <w:szCs w:val="20"/>
          <w:rtl w:val="0"/>
        </w:rPr>
        <w:t xml:space="preserve">AoRs are crafted and assigned by Mandate owners</w:t>
      </w:r>
    </w:p>
    <w:p w:rsidR="00000000" w:rsidDel="00000000" w:rsidP="00000000" w:rsidRDefault="00000000" w:rsidRPr="00000000" w14:paraId="00000022">
      <w:pPr>
        <w:widowControl w:val="0"/>
        <w:numPr>
          <w:ilvl w:val="1"/>
          <w:numId w:val="1"/>
        </w:numPr>
        <w:ind w:left="1440" w:hanging="360"/>
        <w:rPr>
          <w:rFonts w:ascii="Source Sans Pro" w:cs="Source Sans Pro" w:eastAsia="Source Sans Pro" w:hAnsi="Source Sans Pro"/>
          <w:sz w:val="20"/>
          <w:szCs w:val="20"/>
        </w:rPr>
      </w:pPr>
      <w:r w:rsidDel="00000000" w:rsidR="00000000" w:rsidRPr="00000000">
        <w:rPr>
          <w:rFonts w:ascii="Source Sans Pro" w:cs="Source Sans Pro" w:eastAsia="Source Sans Pro" w:hAnsi="Source Sans Pro"/>
          <w:color w:val="222222"/>
          <w:sz w:val="20"/>
          <w:szCs w:val="20"/>
          <w:rtl w:val="0"/>
        </w:rPr>
        <w:t xml:space="preserve">Nothing  prevents an AoR to be assigned to someone outside the mandate owner’s team or department </w:t>
      </w:r>
    </w:p>
    <w:p w:rsidR="00000000" w:rsidDel="00000000" w:rsidP="00000000" w:rsidRDefault="00000000" w:rsidRPr="00000000" w14:paraId="00000023">
      <w:pPr>
        <w:widowControl w:val="0"/>
        <w:numPr>
          <w:ilvl w:val="1"/>
          <w:numId w:val="1"/>
        </w:numPr>
        <w:ind w:left="1440" w:hanging="360"/>
        <w:rPr>
          <w:rFonts w:ascii="Source Sans Pro" w:cs="Source Sans Pro" w:eastAsia="Source Sans Pro" w:hAnsi="Source Sans Pro"/>
          <w:sz w:val="20"/>
          <w:szCs w:val="20"/>
        </w:rPr>
      </w:pPr>
      <w:r w:rsidDel="00000000" w:rsidR="00000000" w:rsidRPr="00000000">
        <w:rPr>
          <w:rFonts w:ascii="Source Sans Pro" w:cs="Source Sans Pro" w:eastAsia="Source Sans Pro" w:hAnsi="Source Sans Pro"/>
          <w:color w:val="222222"/>
          <w:sz w:val="20"/>
          <w:szCs w:val="20"/>
          <w:rtl w:val="0"/>
        </w:rPr>
        <w:t xml:space="preserve">Do ask their direct manager before assigning an AoR to someone outside your team</w:t>
      </w:r>
    </w:p>
    <w:p w:rsidR="00000000" w:rsidDel="00000000" w:rsidP="00000000" w:rsidRDefault="00000000" w:rsidRPr="00000000" w14:paraId="00000024">
      <w:pPr>
        <w:widowControl w:val="0"/>
        <w:numPr>
          <w:ilvl w:val="1"/>
          <w:numId w:val="1"/>
        </w:numPr>
        <w:ind w:left="1440" w:hanging="360"/>
        <w:rPr>
          <w:rFonts w:ascii="Source Sans Pro" w:cs="Source Sans Pro" w:eastAsia="Source Sans Pro" w:hAnsi="Source Sans Pro"/>
          <w:sz w:val="20"/>
          <w:szCs w:val="20"/>
        </w:rPr>
      </w:pPr>
      <w:r w:rsidDel="00000000" w:rsidR="00000000" w:rsidRPr="00000000">
        <w:rPr>
          <w:rFonts w:ascii="Source Sans Pro" w:cs="Source Sans Pro" w:eastAsia="Source Sans Pro" w:hAnsi="Source Sans Pro"/>
          <w:color w:val="222222"/>
          <w:sz w:val="20"/>
          <w:szCs w:val="20"/>
          <w:rtl w:val="0"/>
        </w:rPr>
        <w:t xml:space="preserve">Mandate holders can unassign AoRs within their mandates at will, especially if an AoR holder is not doing a good job</w:t>
      </w: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Source Sans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jc w:val="center"/>
      <w:rPr/>
    </w:pPr>
    <w:r w:rsidDel="00000000" w:rsidR="00000000" w:rsidRPr="00000000">
      <w:rPr/>
      <w:drawing>
        <wp:inline distB="19050" distT="19050" distL="19050" distR="19050">
          <wp:extent cx="3595688" cy="235916"/>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5688" cy="235916"/>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righ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righ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righ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righ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righ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righ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righ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SourceSansPro-regular.ttf"/><Relationship Id="rId2" Type="http://schemas.openxmlformats.org/officeDocument/2006/relationships/font" Target="fonts/SourceSansPro-bold.ttf"/><Relationship Id="rId3" Type="http://schemas.openxmlformats.org/officeDocument/2006/relationships/font" Target="fonts/SourceSansPro-italic.ttf"/><Relationship Id="rId4" Type="http://schemas.openxmlformats.org/officeDocument/2006/relationships/font" Target="fonts/SourceSansPr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